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333A75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009C1EA6" w:rsidRPr="009C1EA6">
        <w:rPr>
          <w:bCs/>
          <w:noProof w:val="0"/>
          <w:sz w:val="24"/>
          <w:szCs w:val="24"/>
        </w:rPr>
        <w:t>R2-2004685</w:t>
      </w:r>
    </w:p>
    <w:p w14:paraId="11776FA6" w14:textId="65A7D21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w:t>
      </w:r>
      <w:r w:rsidR="008054E1">
        <w:rPr>
          <w:rFonts w:eastAsia="SimSun"/>
          <w:bCs/>
          <w:sz w:val="24"/>
          <w:szCs w:val="24"/>
          <w:lang w:eastAsia="zh-CN"/>
        </w:rPr>
        <w:t>2</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C2DD21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1EA6" w:rsidRPr="009C1EA6">
        <w:rPr>
          <w:rFonts w:cs="Arial"/>
          <w:b/>
          <w:bCs/>
          <w:sz w:val="24"/>
          <w:lang w:eastAsia="ja-JP"/>
        </w:rPr>
        <w:t>6.1.5.3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A4964D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1EA6" w:rsidRPr="009C1EA6">
        <w:rPr>
          <w:rFonts w:ascii="Arial" w:hAnsi="Arial" w:cs="Arial"/>
          <w:b/>
          <w:bCs/>
          <w:sz w:val="24"/>
        </w:rPr>
        <w:t>Access category and establishment cause for IAB-MT [RIL: H697]</w:t>
      </w:r>
    </w:p>
    <w:p w14:paraId="1F147C23" w14:textId="21CCA26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5379">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26537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B138172" w14:textId="4553605B" w:rsidR="00265379" w:rsidRDefault="00265379" w:rsidP="00265379">
      <w:r>
        <w:t>This contribution discusses a potential issue related to initial access of an IAB-MT.</w:t>
      </w:r>
      <w:r w:rsidR="00AF37E3">
        <w:t xml:space="preserve"> The discussion is also related to RIL number H697, whose description</w:t>
      </w:r>
      <w:bookmarkStart w:id="0" w:name="_GoBack"/>
      <w:bookmarkEnd w:id="0"/>
      <w:r w:rsidR="00AF37E3">
        <w:t xml:space="preserve"> says:</w:t>
      </w:r>
    </w:p>
    <w:p w14:paraId="69A0841B" w14:textId="244EACF6" w:rsidR="00AF37E3" w:rsidRPr="00265379" w:rsidRDefault="00AF37E3" w:rsidP="00265379">
      <w:r>
        <w:t>“</w:t>
      </w:r>
      <w:r w:rsidRPr="00AF37E3">
        <w:t>R2 agreed IAB-MT is not under UAC.  It means IAB-MT will not set/use any Access Category. IAB-MT should skip the procedure of “select ‘x’ as the Access Category“. R2 should clarify if IAB-MT should set any access category.</w:t>
      </w:r>
      <w:r>
        <w:t>”</w:t>
      </w:r>
    </w:p>
    <w:p w14:paraId="2BBFF540" w14:textId="1DC0F853" w:rsidR="00A209D6" w:rsidRPr="006E13D1" w:rsidRDefault="00A209D6" w:rsidP="00A209D6">
      <w:pPr>
        <w:pStyle w:val="Heading1"/>
      </w:pPr>
      <w:r w:rsidRPr="006E13D1">
        <w:t>2</w:t>
      </w:r>
      <w:r w:rsidRPr="006E13D1">
        <w:tab/>
      </w:r>
      <w:r w:rsidR="00265379">
        <w:t>Discussion</w:t>
      </w:r>
    </w:p>
    <w:p w14:paraId="3EFB51B0" w14:textId="69BDFB7E" w:rsidR="00265379" w:rsidRDefault="00265379" w:rsidP="00265379">
      <w:r>
        <w:t>RAN2 has made several agreements with respect to how to IAB-MT treats various barring settings signalled by the cell and how it accesses the network:</w:t>
      </w:r>
    </w:p>
    <w:p w14:paraId="4A79AB7F" w14:textId="4C0897D8" w:rsidR="00265379" w:rsidRDefault="00265379" w:rsidP="00265379">
      <w:pPr>
        <w:pStyle w:val="ListParagraph"/>
        <w:numPr>
          <w:ilvl w:val="0"/>
          <w:numId w:val="8"/>
        </w:numPr>
      </w:pPr>
      <w:r>
        <w:t>IAB-MT ignores cellBarred/intraFreqReslection, cellReservedForOperatorUse and cellReservedForOtherUse indications.</w:t>
      </w:r>
      <w:r w:rsidR="00822648">
        <w:t xml:space="preserve"> </w:t>
      </w:r>
    </w:p>
    <w:p w14:paraId="38B509D1" w14:textId="77777777" w:rsidR="00265379" w:rsidRDefault="00265379" w:rsidP="00265379">
      <w:pPr>
        <w:pStyle w:val="ListParagraph"/>
        <w:numPr>
          <w:ilvl w:val="0"/>
          <w:numId w:val="8"/>
        </w:numPr>
      </w:pPr>
      <w:r>
        <w:t>IAB-MT may only access a cell indicating iab-Support in SIB1.</w:t>
      </w:r>
    </w:p>
    <w:p w14:paraId="1446793C" w14:textId="77777777" w:rsidR="00265379" w:rsidRDefault="00265379" w:rsidP="00265379">
      <w:pPr>
        <w:pStyle w:val="ListParagraph"/>
        <w:numPr>
          <w:ilvl w:val="0"/>
          <w:numId w:val="8"/>
        </w:numPr>
      </w:pPr>
      <w:r>
        <w:t>IAB-MT is not subject to access barring due to (unified) access control.</w:t>
      </w:r>
    </w:p>
    <w:p w14:paraId="6EA5B242" w14:textId="77777777" w:rsidR="00265379" w:rsidRDefault="00265379" w:rsidP="00265379">
      <w:pPr>
        <w:pStyle w:val="ListParagraph"/>
        <w:numPr>
          <w:ilvl w:val="0"/>
          <w:numId w:val="8"/>
        </w:numPr>
      </w:pPr>
      <w:r>
        <w:t>There is no new establishment cause for access while connecting as an IAB node.</w:t>
      </w:r>
    </w:p>
    <w:p w14:paraId="0225FB0D" w14:textId="65B48868" w:rsidR="00265379" w:rsidRDefault="00265379" w:rsidP="00265379">
      <w:pPr>
        <w:pStyle w:val="ListParagraph"/>
        <w:numPr>
          <w:ilvl w:val="0"/>
          <w:numId w:val="8"/>
        </w:numPr>
      </w:pPr>
      <w:r>
        <w:t xml:space="preserve">When connecting as an IAB node, IAB-MT includes </w:t>
      </w:r>
      <w:r w:rsidRPr="00265379">
        <w:rPr>
          <w:iCs/>
        </w:rPr>
        <w:t>iab-NodeIndication</w:t>
      </w:r>
      <w:r w:rsidRPr="00265379">
        <w:rPr>
          <w:i/>
        </w:rPr>
        <w:t xml:space="preserve"> </w:t>
      </w:r>
      <w:r w:rsidRPr="00265379">
        <w:rPr>
          <w:iCs/>
        </w:rPr>
        <w:t>in RRCSetupComplete (msg5).</w:t>
      </w:r>
    </w:p>
    <w:p w14:paraId="19EFA56E" w14:textId="780B50B2" w:rsidR="00265379" w:rsidRDefault="00265379" w:rsidP="00A209D6">
      <w:r>
        <w:t xml:space="preserve">From bullet 4, it can be concluded that IAB-MT would reuse one of the existing establishment causes when accessing the network. An IAB-MT will most likely never be paged by the network, so it could be deemed that the establishment cause which fits for IAB-MT is either mo-Signalling or mo-Data. </w:t>
      </w:r>
      <w:r w:rsidR="0095094E">
        <w:t>Establishment cause is included in msg3 (RRCSetupRequest) and w</w:t>
      </w:r>
      <w:r>
        <w:t xml:space="preserve">hen the </w:t>
      </w:r>
      <w:r w:rsidR="001A459C">
        <w:t>network disallows access attempts for mo-Signalling or mo-Data</w:t>
      </w:r>
      <w:r>
        <w:t xml:space="preserve">, access attempts with such establishment causes </w:t>
      </w:r>
      <w:r w:rsidR="0095094E">
        <w:t xml:space="preserve">normally get rejected by the network by sending RRCReject message as msg4. The network could of course treat IAB-MTs differently, but at the time of sending msg4, it does not know that the request to setup a connection is originating from an IAB-MT as it only learns that from msg5 (RRCSetupComplete) which contains iab-NodeIndication. </w:t>
      </w:r>
    </w:p>
    <w:p w14:paraId="3F818E36" w14:textId="1655F086" w:rsidR="00DB01F6" w:rsidRDefault="00DB01F6" w:rsidP="00A209D6">
      <w:pPr>
        <w:rPr>
          <w:b/>
          <w:bCs/>
        </w:rPr>
      </w:pPr>
      <w:r>
        <w:rPr>
          <w:b/>
          <w:bCs/>
        </w:rPr>
        <w:t xml:space="preserve">Observation 1: The network may reject connection request from an IAB node with establishment cause set to value different than mt-Access when the cell is </w:t>
      </w:r>
      <w:r w:rsidR="0085734B">
        <w:rPr>
          <w:b/>
          <w:bCs/>
        </w:rPr>
        <w:t>overloaded</w:t>
      </w:r>
      <w:r>
        <w:rPr>
          <w:b/>
          <w:bCs/>
        </w:rPr>
        <w:t>, even though IAB node should be allowed to access the cell.</w:t>
      </w:r>
    </w:p>
    <w:p w14:paraId="213CD790" w14:textId="74DD323E" w:rsidR="00DB01F6" w:rsidRDefault="00DB01F6" w:rsidP="00A209D6">
      <w:r>
        <w:t xml:space="preserve">When establishment cause is set to mt-Access, the UE is treated differently. Since mt-Access is used by UEs which were paged by the network, the network </w:t>
      </w:r>
      <w:r w:rsidR="00DC2A2C">
        <w:t xml:space="preserve">typically </w:t>
      </w:r>
      <w:r>
        <w:t xml:space="preserve">allows such access attempts </w:t>
      </w:r>
      <w:r w:rsidR="00D620C0">
        <w:t xml:space="preserve">as there is no way for the network to configure barring for </w:t>
      </w:r>
      <w:r w:rsidR="00824CC9">
        <w:t xml:space="preserve">access </w:t>
      </w:r>
      <w:r w:rsidR="00D620C0">
        <w:t>attempts</w:t>
      </w:r>
      <w:r w:rsidR="00824CC9">
        <w:t xml:space="preserve"> with mt-Access cause</w:t>
      </w:r>
      <w:r>
        <w:t xml:space="preserve">. </w:t>
      </w:r>
      <w:r w:rsidR="00C45AD1">
        <w:t xml:space="preserve">Therefore, in order to ensure that IAB-MT is always allowed to access the network </w:t>
      </w:r>
      <w:r w:rsidR="00DC2A2C">
        <w:t>and not blocked by</w:t>
      </w:r>
      <w:r w:rsidR="00C45AD1">
        <w:t xml:space="preserve"> the cell’s barring configuration, IAB-MT should use mt-Access as the establishment cause.</w:t>
      </w:r>
    </w:p>
    <w:p w14:paraId="36CED5E1" w14:textId="2D38CDBD" w:rsidR="00C45AD1" w:rsidRDefault="00C45AD1" w:rsidP="00A209D6">
      <w:pPr>
        <w:rPr>
          <w:b/>
          <w:bCs/>
        </w:rPr>
      </w:pPr>
      <w:r>
        <w:rPr>
          <w:b/>
          <w:bCs/>
        </w:rPr>
        <w:t>Proposal 1: IAB-MT always uses mt-Access as an establishment cause when accessing the cell.</w:t>
      </w:r>
    </w:p>
    <w:p w14:paraId="4F547731" w14:textId="1381E688" w:rsidR="00A209D6" w:rsidRDefault="00C42D59" w:rsidP="00A209D6">
      <w:r>
        <w:t xml:space="preserve">The </w:t>
      </w:r>
      <w:r w:rsidR="007F0BB7">
        <w:t xml:space="preserve">establishment cause is provided to RRC from NAS layer and the rules for applying establishment causes depending on the reason for an access are defined in TS 24.501. RAN2 has already sent an LS to SA1/CT1 indicating that the IAB-MT is not subject to UAC. However, </w:t>
      </w:r>
      <w:r w:rsidR="006979CF">
        <w:t xml:space="preserve">to enable establishment cause </w:t>
      </w:r>
      <w:r w:rsidR="000027E3">
        <w:t>derivation</w:t>
      </w:r>
      <w:r w:rsidR="00EA7D18">
        <w:t xml:space="preserve"> for IAB-MT,</w:t>
      </w:r>
      <w:r w:rsidR="006979CF">
        <w:t xml:space="preserve"> NAS layer will have t</w:t>
      </w:r>
      <w:r w:rsidR="00314D05">
        <w:t xml:space="preserve">o </w:t>
      </w:r>
      <w:r w:rsidR="000027E3">
        <w:t>consider</w:t>
      </w:r>
      <w:r w:rsidR="00314D05">
        <w:t xml:space="preserve"> the</w:t>
      </w:r>
      <w:r w:rsidR="000027E3">
        <w:t xml:space="preserve"> applicability of </w:t>
      </w:r>
      <w:r w:rsidR="00314D05">
        <w:t>procedures for RRC establishment cause derivation</w:t>
      </w:r>
      <w:r w:rsidR="000027E3">
        <w:t xml:space="preserve"> for IAB-MT</w:t>
      </w:r>
      <w:r w:rsidR="00EA7D18">
        <w:t xml:space="preserve">. </w:t>
      </w:r>
      <w:r w:rsidR="007F0BB7">
        <w:t xml:space="preserve">CT1 may not know the </w:t>
      </w:r>
      <w:r w:rsidR="007F0BB7">
        <w:lastRenderedPageBreak/>
        <w:t>details of how IAB-MTs access is controlled by the network and may not be aware of the issue as clarified above. We propose to send another LS to CT1 to clarify that IAB-MT should always utilize mt-Access as an establishment cause.</w:t>
      </w:r>
    </w:p>
    <w:p w14:paraId="60E06E9E" w14:textId="71AF06DC" w:rsidR="007F0BB7" w:rsidRDefault="007F0BB7" w:rsidP="00A209D6">
      <w:pPr>
        <w:rPr>
          <w:b/>
          <w:bCs/>
        </w:rPr>
      </w:pPr>
      <w:r>
        <w:rPr>
          <w:b/>
          <w:bCs/>
        </w:rPr>
        <w:t>Proposal 2: RAN2 should send an LS to CT1 clarifying that an IAB-MT accessing the cell indicating iab-Support as an IAB node</w:t>
      </w:r>
      <w:r w:rsidRPr="007F0BB7">
        <w:rPr>
          <w:b/>
          <w:bCs/>
        </w:rPr>
        <w:t xml:space="preserve"> </w:t>
      </w:r>
      <w:r>
        <w:rPr>
          <w:b/>
          <w:bCs/>
        </w:rPr>
        <w:t>should always set establishment cause to mt-Access.</w:t>
      </w:r>
    </w:p>
    <w:p w14:paraId="62A70C6C" w14:textId="3D95B896" w:rsidR="004E4A02" w:rsidRPr="004E4A02" w:rsidRDefault="004E4A02" w:rsidP="00A209D6">
      <w:r w:rsidRPr="004E4A02">
        <w:t>The proposed draft LS can be found in [</w:t>
      </w:r>
      <w:r w:rsidR="00D32697">
        <w:t>1</w:t>
      </w:r>
      <w:r w:rsidRPr="004E4A02">
        <w:t>]</w:t>
      </w:r>
      <w:r>
        <w:t>.</w:t>
      </w:r>
    </w:p>
    <w:p w14:paraId="5FF2457F" w14:textId="05E9BAA9" w:rsidR="00A209D6" w:rsidRPr="006E13D1" w:rsidRDefault="00DB736B" w:rsidP="00A209D6">
      <w:pPr>
        <w:pStyle w:val="Heading1"/>
      </w:pPr>
      <w:r>
        <w:t>3</w:t>
      </w:r>
      <w:r w:rsidR="00A209D6" w:rsidRPr="006E13D1">
        <w:tab/>
      </w:r>
      <w:r w:rsidR="008C3057">
        <w:t>Conclusion</w:t>
      </w:r>
    </w:p>
    <w:p w14:paraId="1A8CA6AB" w14:textId="2AE8A899" w:rsidR="00D32697" w:rsidRPr="0020309C" w:rsidRDefault="0020309C" w:rsidP="00A209D6">
      <w:r w:rsidRPr="0020309C">
        <w:t xml:space="preserve">Based </w:t>
      </w:r>
      <w:r>
        <w:t>on the discussion in section 2, the following is observed and proposed:</w:t>
      </w:r>
    </w:p>
    <w:p w14:paraId="4E50CC65" w14:textId="77777777" w:rsidR="0020309C" w:rsidRDefault="0020309C" w:rsidP="0020309C">
      <w:pPr>
        <w:rPr>
          <w:b/>
          <w:bCs/>
        </w:rPr>
      </w:pPr>
      <w:r>
        <w:rPr>
          <w:b/>
          <w:bCs/>
        </w:rPr>
        <w:t>Observation 1: The network may reject connection request from an IAB node with establishment cause set to value different than mt-Access when the cell is overloaded, even though IAB node should be allowed to access the cell.</w:t>
      </w:r>
    </w:p>
    <w:p w14:paraId="0CBE1516" w14:textId="77777777" w:rsidR="0020309C" w:rsidRDefault="0020309C" w:rsidP="0020309C">
      <w:pPr>
        <w:rPr>
          <w:b/>
          <w:bCs/>
        </w:rPr>
      </w:pPr>
      <w:r>
        <w:rPr>
          <w:b/>
          <w:bCs/>
        </w:rPr>
        <w:t>Proposal 1: IAB-MT always uses mt-Access as an establishment cause when accessing the cell.</w:t>
      </w:r>
    </w:p>
    <w:p w14:paraId="733BB106" w14:textId="24C6400B" w:rsidR="0020309C" w:rsidRDefault="0020309C" w:rsidP="0020309C">
      <w:pPr>
        <w:rPr>
          <w:b/>
          <w:bCs/>
        </w:rPr>
      </w:pPr>
      <w:r>
        <w:rPr>
          <w:b/>
          <w:bCs/>
        </w:rPr>
        <w:t>Proposal 2: RAN2 should send an LS to CT1 clarifying that an IAB-MT accessing the cell indicating iab-Support as an IAB node</w:t>
      </w:r>
      <w:r w:rsidRPr="007F0BB7">
        <w:rPr>
          <w:b/>
          <w:bCs/>
        </w:rPr>
        <w:t xml:space="preserve"> </w:t>
      </w:r>
      <w:r>
        <w:rPr>
          <w:b/>
          <w:bCs/>
        </w:rPr>
        <w:t>should always set establishment cause to mt-Access.</w:t>
      </w:r>
    </w:p>
    <w:p w14:paraId="6493BCD6" w14:textId="77777777" w:rsidR="0020309C" w:rsidRDefault="0020309C" w:rsidP="0020309C">
      <w:pPr>
        <w:rPr>
          <w:b/>
          <w:bCs/>
        </w:rPr>
      </w:pPr>
    </w:p>
    <w:p w14:paraId="30828578" w14:textId="557F4E35" w:rsidR="00D32697" w:rsidRDefault="00D32697" w:rsidP="00D32697">
      <w:pPr>
        <w:pStyle w:val="Heading1"/>
      </w:pPr>
      <w:r>
        <w:t>References</w:t>
      </w:r>
    </w:p>
    <w:p w14:paraId="0FE83D0B" w14:textId="0E510E8D" w:rsidR="00D32697" w:rsidRPr="00D32697" w:rsidRDefault="00D32697" w:rsidP="00D32697">
      <w:r>
        <w:t xml:space="preserve">[1] </w:t>
      </w:r>
      <w:r w:rsidRPr="00D32697">
        <w:t>R2-2004686</w:t>
      </w:r>
      <w:r>
        <w:t xml:space="preserve">, </w:t>
      </w:r>
      <w:r w:rsidRPr="00D32697">
        <w:rPr>
          <w:i/>
          <w:iCs/>
        </w:rPr>
        <w:t>Draft LS to CT1 on IAB-MT establishment cause</w:t>
      </w:r>
      <w:r>
        <w:t>, Nokia, Nokia Shanghai Bell</w:t>
      </w:r>
    </w:p>
    <w:p w14:paraId="37A73DF6" w14:textId="77777777" w:rsidR="00D32697" w:rsidRPr="00A209D6" w:rsidRDefault="00D32697" w:rsidP="00A209D6"/>
    <w:sectPr w:rsidR="00D32697"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CAA9" w14:textId="77777777" w:rsidR="007C0F4D" w:rsidRDefault="007C0F4D">
      <w:r>
        <w:separator/>
      </w:r>
    </w:p>
  </w:endnote>
  <w:endnote w:type="continuationSeparator" w:id="0">
    <w:p w14:paraId="62F46A5B" w14:textId="77777777" w:rsidR="007C0F4D" w:rsidRDefault="007C0F4D">
      <w:r>
        <w:continuationSeparator/>
      </w:r>
    </w:p>
  </w:endnote>
  <w:endnote w:type="continuationNotice" w:id="1">
    <w:p w14:paraId="1F7BCB68" w14:textId="77777777" w:rsidR="007C0F4D" w:rsidRDefault="007C0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C0F4D" w:rsidRDefault="007C0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C0F4D" w:rsidRDefault="007C0F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C0F4D" w:rsidRDefault="007C0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BCB7" w14:textId="77777777" w:rsidR="007C0F4D" w:rsidRDefault="007C0F4D">
      <w:r>
        <w:separator/>
      </w:r>
    </w:p>
  </w:footnote>
  <w:footnote w:type="continuationSeparator" w:id="0">
    <w:p w14:paraId="32EA1BFB" w14:textId="77777777" w:rsidR="007C0F4D" w:rsidRDefault="007C0F4D">
      <w:r>
        <w:continuationSeparator/>
      </w:r>
    </w:p>
  </w:footnote>
  <w:footnote w:type="continuationNotice" w:id="1">
    <w:p w14:paraId="6DF38F8C" w14:textId="77777777" w:rsidR="007C0F4D" w:rsidRDefault="007C0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C0F4D" w:rsidRDefault="007C0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C0F4D" w:rsidRDefault="007C0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C0F4D" w:rsidRDefault="007C0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340D7B"/>
    <w:multiLevelType w:val="hybridMultilevel"/>
    <w:tmpl w:val="318C3892"/>
    <w:lvl w:ilvl="0" w:tplc="36A847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E3"/>
    <w:rsid w:val="00016557"/>
    <w:rsid w:val="00023C40"/>
    <w:rsid w:val="00033397"/>
    <w:rsid w:val="00040095"/>
    <w:rsid w:val="00073C9C"/>
    <w:rsid w:val="00080512"/>
    <w:rsid w:val="00090468"/>
    <w:rsid w:val="00094568"/>
    <w:rsid w:val="000B7BCF"/>
    <w:rsid w:val="000C522B"/>
    <w:rsid w:val="000D58AB"/>
    <w:rsid w:val="00112F1A"/>
    <w:rsid w:val="00125763"/>
    <w:rsid w:val="00145075"/>
    <w:rsid w:val="001741A0"/>
    <w:rsid w:val="00175FA0"/>
    <w:rsid w:val="00194CD0"/>
    <w:rsid w:val="001A459C"/>
    <w:rsid w:val="001B49C9"/>
    <w:rsid w:val="001C23F4"/>
    <w:rsid w:val="001C4F79"/>
    <w:rsid w:val="001F168B"/>
    <w:rsid w:val="001F7831"/>
    <w:rsid w:val="0020309C"/>
    <w:rsid w:val="00204045"/>
    <w:rsid w:val="0020712B"/>
    <w:rsid w:val="0022606D"/>
    <w:rsid w:val="00231728"/>
    <w:rsid w:val="00250404"/>
    <w:rsid w:val="002610D8"/>
    <w:rsid w:val="00265379"/>
    <w:rsid w:val="002747EC"/>
    <w:rsid w:val="002855BF"/>
    <w:rsid w:val="002F0D22"/>
    <w:rsid w:val="00311B17"/>
    <w:rsid w:val="00314D05"/>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E4A02"/>
    <w:rsid w:val="00503171"/>
    <w:rsid w:val="00506C28"/>
    <w:rsid w:val="00534DA0"/>
    <w:rsid w:val="00543E6C"/>
    <w:rsid w:val="00565087"/>
    <w:rsid w:val="0056573F"/>
    <w:rsid w:val="005A49C6"/>
    <w:rsid w:val="00611566"/>
    <w:rsid w:val="00646D99"/>
    <w:rsid w:val="00656910"/>
    <w:rsid w:val="006574C0"/>
    <w:rsid w:val="006979CF"/>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0F4D"/>
    <w:rsid w:val="007C2DD0"/>
    <w:rsid w:val="007E3DDF"/>
    <w:rsid w:val="007F0BB7"/>
    <w:rsid w:val="007F2E08"/>
    <w:rsid w:val="008028A4"/>
    <w:rsid w:val="008054E1"/>
    <w:rsid w:val="00813245"/>
    <w:rsid w:val="00822648"/>
    <w:rsid w:val="00824CC9"/>
    <w:rsid w:val="00840DE0"/>
    <w:rsid w:val="0085734B"/>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5094E"/>
    <w:rsid w:val="00961B32"/>
    <w:rsid w:val="00962509"/>
    <w:rsid w:val="00970DB3"/>
    <w:rsid w:val="00974BB0"/>
    <w:rsid w:val="00975BCD"/>
    <w:rsid w:val="009928A9"/>
    <w:rsid w:val="009A0AF3"/>
    <w:rsid w:val="009B07CD"/>
    <w:rsid w:val="009C19E9"/>
    <w:rsid w:val="009C1EA6"/>
    <w:rsid w:val="009D74A6"/>
    <w:rsid w:val="009E0E87"/>
    <w:rsid w:val="00A10F02"/>
    <w:rsid w:val="00A204CA"/>
    <w:rsid w:val="00A209D6"/>
    <w:rsid w:val="00A53724"/>
    <w:rsid w:val="00A54B2B"/>
    <w:rsid w:val="00A82346"/>
    <w:rsid w:val="00A9671C"/>
    <w:rsid w:val="00AA1553"/>
    <w:rsid w:val="00AF37E3"/>
    <w:rsid w:val="00B05380"/>
    <w:rsid w:val="00B05962"/>
    <w:rsid w:val="00B15449"/>
    <w:rsid w:val="00B16C2F"/>
    <w:rsid w:val="00B27303"/>
    <w:rsid w:val="00B47FD1"/>
    <w:rsid w:val="00B516BB"/>
    <w:rsid w:val="00B84DB2"/>
    <w:rsid w:val="00BC3555"/>
    <w:rsid w:val="00C12B51"/>
    <w:rsid w:val="00C16E3A"/>
    <w:rsid w:val="00C24650"/>
    <w:rsid w:val="00C25465"/>
    <w:rsid w:val="00C33079"/>
    <w:rsid w:val="00C42D59"/>
    <w:rsid w:val="00C45AD1"/>
    <w:rsid w:val="00C83A13"/>
    <w:rsid w:val="00C9068C"/>
    <w:rsid w:val="00C92967"/>
    <w:rsid w:val="00CA3D0C"/>
    <w:rsid w:val="00CA654B"/>
    <w:rsid w:val="00CB72B8"/>
    <w:rsid w:val="00CD4C7B"/>
    <w:rsid w:val="00CD58FE"/>
    <w:rsid w:val="00D32697"/>
    <w:rsid w:val="00D33BE3"/>
    <w:rsid w:val="00D3792D"/>
    <w:rsid w:val="00D55E47"/>
    <w:rsid w:val="00D620C0"/>
    <w:rsid w:val="00D62E19"/>
    <w:rsid w:val="00D67CD1"/>
    <w:rsid w:val="00D738D6"/>
    <w:rsid w:val="00D80795"/>
    <w:rsid w:val="00D854BE"/>
    <w:rsid w:val="00D87E00"/>
    <w:rsid w:val="00D9134D"/>
    <w:rsid w:val="00D96D11"/>
    <w:rsid w:val="00DA7A03"/>
    <w:rsid w:val="00DB01F6"/>
    <w:rsid w:val="00DB0DB8"/>
    <w:rsid w:val="00DB1818"/>
    <w:rsid w:val="00DB736B"/>
    <w:rsid w:val="00DC2A2C"/>
    <w:rsid w:val="00DC309B"/>
    <w:rsid w:val="00DC4DA2"/>
    <w:rsid w:val="00DC5261"/>
    <w:rsid w:val="00DE25D2"/>
    <w:rsid w:val="00E46C08"/>
    <w:rsid w:val="00E471CF"/>
    <w:rsid w:val="00E62835"/>
    <w:rsid w:val="00E77645"/>
    <w:rsid w:val="00E83697"/>
    <w:rsid w:val="00EA66C9"/>
    <w:rsid w:val="00EA7D18"/>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65379"/>
    <w:pPr>
      <w:ind w:left="720"/>
      <w:contextualSpacing/>
    </w:pPr>
  </w:style>
  <w:style w:type="character" w:styleId="CommentReference">
    <w:name w:val="annotation reference"/>
    <w:basedOn w:val="DefaultParagraphFont"/>
    <w:rsid w:val="004E4A02"/>
    <w:rPr>
      <w:sz w:val="16"/>
      <w:szCs w:val="16"/>
    </w:rPr>
  </w:style>
  <w:style w:type="paragraph" w:styleId="CommentText">
    <w:name w:val="annotation text"/>
    <w:basedOn w:val="Normal"/>
    <w:link w:val="CommentTextChar"/>
    <w:rsid w:val="004E4A02"/>
  </w:style>
  <w:style w:type="character" w:customStyle="1" w:styleId="CommentTextChar">
    <w:name w:val="Comment Text Char"/>
    <w:basedOn w:val="DefaultParagraphFont"/>
    <w:link w:val="CommentText"/>
    <w:rsid w:val="004E4A02"/>
    <w:rPr>
      <w:lang w:eastAsia="en-US"/>
    </w:rPr>
  </w:style>
  <w:style w:type="paragraph" w:styleId="CommentSubject">
    <w:name w:val="annotation subject"/>
    <w:basedOn w:val="CommentText"/>
    <w:next w:val="CommentText"/>
    <w:link w:val="CommentSubjectChar"/>
    <w:rsid w:val="004E4A02"/>
    <w:rPr>
      <w:b/>
      <w:bCs/>
    </w:rPr>
  </w:style>
  <w:style w:type="character" w:customStyle="1" w:styleId="CommentSubjectChar">
    <w:name w:val="Comment Subject Char"/>
    <w:basedOn w:val="CommentTextChar"/>
    <w:link w:val="CommentSubject"/>
    <w:rsid w:val="004E4A0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5AIRPNAIUNRU-859666464-6651</_dlc_DocId>
    <_dlc_DocIdUrl xmlns="71c5aaf6-e6ce-465b-b873-5148d2a4c105">
      <Url>https://nokia.sharepoint.com/sites/c5g/e2earch/_layouts/15/DocIdRedir.aspx?ID=5AIRPNAIUNRU-859666464-6651</Url>
      <Description>5AIRPNAIUNRU-859666464-6651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http://purl.org/dc/dcmitype/"/>
    <ds:schemaRef ds:uri="http://purl.org/dc/elements/1.1/"/>
    <ds:schemaRef ds:uri="83f22d2f-d16e-4be6-ad4f-29fa0b067c3c"/>
    <ds:schemaRef ds:uri="3b34c8f0-1ef5-4d1e-bb66-517ce7fe7356"/>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71c5aaf6-e6ce-465b-b873-5148d2a4c105"/>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713</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108</cp:revision>
  <dcterms:created xsi:type="dcterms:W3CDTF">2016-08-12T03:53:00Z</dcterms:created>
  <dcterms:modified xsi:type="dcterms:W3CDTF">2020-05-21T17:27:00Z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5c67a447-3478-450d-b76c-5a8e7235b270</vt:lpwstr>
  </property>
</Properties>
</file>